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8" w:rsidRPr="009C62A8" w:rsidRDefault="009C62A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C62A8">
        <w:rPr>
          <w:rFonts w:ascii="Times New Roman" w:hAnsi="Times New Roman" w:cs="Times New Roman"/>
          <w:sz w:val="24"/>
          <w:szCs w:val="24"/>
        </w:rPr>
        <w:br/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34430</w:t>
      </w:r>
    </w:p>
    <w:p w:rsidR="009C62A8" w:rsidRPr="009C62A8" w:rsidRDefault="009C62A8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ПРИКАЗ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от 26 августа 2014 г. N 1115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31.08.72 СТОМАТОЛОГИЯ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ОБЩЕЙ ПРАКТИКИ (УРОВЕНЬ ПОДГОТОВКИ КАДРОВ</w:t>
      </w:r>
      <w:proofErr w:type="gramEnd"/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31.08.72 Стоматология общей практики (уровень подготовки кадров высшей квалификации).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Министр</w:t>
      </w: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Д.В.ЛИВАНОВ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Приложение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Утвержден</w:t>
      </w: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от 26 августа 2014 г. N 1115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C62A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9C62A8" w:rsidRPr="009C62A8" w:rsidRDefault="009C6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31.08.72 СТОМАТОЛОГИЯ ОБЩЕЙ ПРАКТИКИ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31.08.72 Стоматология общей практики (далее соответственно - программа ординатуры, специальность).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.;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население;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лечебная;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оказание стоматологической помощи пациентам;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lastRenderedPageBreak/>
        <w:t>V. ТРЕБОВАНИЯ К РЕЗУЛЬТАТАМ ОСВОЕНИЯ ПРОГРАММЫ ОРДИНАТУРЫ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стоматологической помощи (ПК-7);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>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5.5. При разработке программы организация ординатуры вправе дополнить набор компетенций выпускников в части программы, формируемой участниками образовательных отношений.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стоматолог".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9C62A8" w:rsidRPr="009C62A8" w:rsidRDefault="009C62A8">
      <w:pPr>
        <w:rPr>
          <w:rFonts w:ascii="Times New Roman" w:hAnsi="Times New Roman" w:cs="Times New Roman"/>
          <w:sz w:val="24"/>
          <w:szCs w:val="24"/>
        </w:rPr>
        <w:sectPr w:rsidR="009C62A8" w:rsidRPr="009C62A8" w:rsidSect="009C62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Таблица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5071"/>
        <w:gridCol w:w="3240"/>
      </w:tblGrid>
      <w:tr w:rsidR="009C62A8" w:rsidRPr="009C62A8">
        <w:tc>
          <w:tcPr>
            <w:tcW w:w="6540" w:type="dxa"/>
            <w:gridSpan w:val="2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2A8" w:rsidRPr="009C62A8">
        <w:tc>
          <w:tcPr>
            <w:tcW w:w="1469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9C62A8" w:rsidRPr="009C62A8">
        <w:tc>
          <w:tcPr>
            <w:tcW w:w="1469" w:type="dxa"/>
            <w:vMerge w:val="restart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9C62A8" w:rsidRPr="009C62A8">
        <w:tc>
          <w:tcPr>
            <w:tcW w:w="1469" w:type="dxa"/>
            <w:vMerge/>
          </w:tcPr>
          <w:p w:rsidR="009C62A8" w:rsidRPr="009C62A8" w:rsidRDefault="009C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9C62A8" w:rsidRPr="009C62A8">
        <w:tc>
          <w:tcPr>
            <w:tcW w:w="1469" w:type="dxa"/>
            <w:vMerge w:val="restart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9C62A8" w:rsidRPr="009C62A8">
        <w:tc>
          <w:tcPr>
            <w:tcW w:w="1469" w:type="dxa"/>
            <w:vMerge/>
          </w:tcPr>
          <w:p w:rsidR="009C62A8" w:rsidRPr="009C62A8" w:rsidRDefault="009C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9C62A8" w:rsidRPr="009C62A8">
        <w:tc>
          <w:tcPr>
            <w:tcW w:w="1469" w:type="dxa"/>
            <w:vMerge/>
          </w:tcPr>
          <w:p w:rsidR="009C62A8" w:rsidRPr="009C62A8" w:rsidRDefault="009C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9C62A8" w:rsidRPr="009C62A8">
        <w:tc>
          <w:tcPr>
            <w:tcW w:w="1469" w:type="dxa"/>
            <w:vMerge w:val="restart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2A8" w:rsidRPr="009C62A8">
        <w:tc>
          <w:tcPr>
            <w:tcW w:w="1469" w:type="dxa"/>
            <w:vMerge/>
          </w:tcPr>
          <w:p w:rsidR="009C62A8" w:rsidRPr="009C62A8" w:rsidRDefault="009C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2A8" w:rsidRPr="009C62A8">
        <w:tc>
          <w:tcPr>
            <w:tcW w:w="6540" w:type="dxa"/>
            <w:gridSpan w:val="2"/>
          </w:tcPr>
          <w:p w:rsidR="009C62A8" w:rsidRPr="009C62A8" w:rsidRDefault="009C6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240" w:type="dxa"/>
          </w:tcPr>
          <w:p w:rsidR="009C62A8" w:rsidRPr="009C62A8" w:rsidRDefault="009C6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C62A8" w:rsidRPr="009C62A8" w:rsidRDefault="009C62A8">
      <w:pPr>
        <w:rPr>
          <w:rFonts w:ascii="Times New Roman" w:hAnsi="Times New Roman" w:cs="Times New Roman"/>
          <w:sz w:val="24"/>
          <w:szCs w:val="24"/>
        </w:rPr>
        <w:sectPr w:rsidR="009C62A8" w:rsidRPr="009C62A8" w:rsidSect="009C62A8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>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выездная.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>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 и профессиональным стандартам (при наличии).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фантом челюстно-лицевой области;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наконечник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A8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2A8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; автоклав (стерилизатор паровой), при отсутствии центральной стерилизационной; автоклав для </w:t>
      </w:r>
      <w:r w:rsidRPr="009C62A8">
        <w:rPr>
          <w:rFonts w:ascii="Times New Roman" w:hAnsi="Times New Roman" w:cs="Times New Roman"/>
          <w:sz w:val="24"/>
          <w:szCs w:val="24"/>
        </w:rPr>
        <w:lastRenderedPageBreak/>
        <w:t xml:space="preserve">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(медицинский), при отсутствии центральной стерилизационной;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фотополимеризатор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для композита (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внутриротовой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прибор и средства для очистки и смазки; стерилизатор стоматологический для мелкого инструментария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; лампа (облучатель) бактерицидная для помещений;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радиовизиограф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 или рентген дентальный;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; аппарат для диагностики жизнеспособности пульпы (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электроодонтометр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); аппарат для определения глубины корневого канала (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апекслокатор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физиодеспенсор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; прямой и угловой наконечник; эндоскоп для проведения операций на пазухах;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набор хирургических инструментов для удаления зубов,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остеопластики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, направленной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остеорегенерации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 xml:space="preserve">, операций на мягких тканей; хирургический лазер; </w:t>
      </w:r>
      <w:proofErr w:type="spellStart"/>
      <w:r w:rsidRPr="009C62A8">
        <w:rPr>
          <w:rFonts w:ascii="Times New Roman" w:hAnsi="Times New Roman" w:cs="Times New Roman"/>
          <w:sz w:val="24"/>
          <w:szCs w:val="24"/>
        </w:rPr>
        <w:t>электроскальпель</w:t>
      </w:r>
      <w:proofErr w:type="spellEnd"/>
      <w:r w:rsidRPr="009C62A8">
        <w:rPr>
          <w:rFonts w:ascii="Times New Roman" w:hAnsi="Times New Roman" w:cs="Times New Roman"/>
          <w:sz w:val="24"/>
          <w:szCs w:val="24"/>
        </w:rPr>
        <w:t>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9C62A8" w:rsidRPr="009C62A8" w:rsidRDefault="009C6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2A8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9C62A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9C62A8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C62A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9C62A8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2A8" w:rsidRPr="009C62A8" w:rsidRDefault="009C62A8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E658B" w:rsidRPr="009C62A8" w:rsidRDefault="00BE658B">
      <w:pPr>
        <w:rPr>
          <w:rFonts w:ascii="Times New Roman" w:hAnsi="Times New Roman" w:cs="Times New Roman"/>
          <w:sz w:val="24"/>
          <w:szCs w:val="24"/>
        </w:rPr>
      </w:pPr>
    </w:p>
    <w:sectPr w:rsidR="00BE658B" w:rsidRPr="009C62A8" w:rsidSect="009C62A8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2A8"/>
    <w:rsid w:val="009C62A8"/>
    <w:rsid w:val="00BE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76F720CE40A84243762D9C52DA41160A9C4962D38EB72C6E74974F1712F2RCy3I" TargetMode="External"/><Relationship Id="rId13" Type="http://schemas.openxmlformats.org/officeDocument/2006/relationships/hyperlink" Target="consultantplus://offline/ref=E9D5D3B3D8AF6CCD566476F720CE40A8424373259E55DA41160A9C4962RDy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5D3B3D8AF6CCD566477F333CE40A84641772A9D5A874B1E53904B65DCD1A02B2778964F1612RFy2I" TargetMode="External"/><Relationship Id="rId12" Type="http://schemas.openxmlformats.org/officeDocument/2006/relationships/hyperlink" Target="consultantplus://offline/ref=E9D5D3B3D8AF6CCD566476F720CE40A8424375259F50DA41160A9C4962RDy3I" TargetMode="External"/><Relationship Id="rId17" Type="http://schemas.openxmlformats.org/officeDocument/2006/relationships/hyperlink" Target="consultantplus://offline/ref=E9D5D3B3D8AF6CCD566476F720CE40A84240722D9851DA41160A9C4962D38EB72C6E74974F1612FARCy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77F333CE40A84743772A985A874B1E53904BR6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76F720CE40A84243782A9856DA41160A9C4962D38EB72C6E74974F1612FFRCy8I" TargetMode="External"/><Relationship Id="rId11" Type="http://schemas.openxmlformats.org/officeDocument/2006/relationships/hyperlink" Target="consultantplus://offline/ref=E9D5D3B3D8AF6CCD566477F333CE40A8464170289B5A874B1E53904BR6y5I" TargetMode="External"/><Relationship Id="rId5" Type="http://schemas.openxmlformats.org/officeDocument/2006/relationships/hyperlink" Target="consultantplus://offline/ref=E9D5D3B3D8AF6CCD566476F720CE40A84243752E9C58DA41160A9C4962D38EB72C6E74974F1612FDRCy8I" TargetMode="External"/><Relationship Id="rId15" Type="http://schemas.openxmlformats.org/officeDocument/2006/relationships/hyperlink" Target="consultantplus://offline/ref=E9D5D3B3D8AF6CCD566476F720CE40A8424472289957DA41160A9C4962D38EB72C6E74974F1612FARCyAI" TargetMode="External"/><Relationship Id="rId10" Type="http://schemas.openxmlformats.org/officeDocument/2006/relationships/hyperlink" Target="consultantplus://offline/ref=E9D5D3B3D8AF6CCD566477F333CE40A8424C792D93078D43475F92R4y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D5D3B3D8AF6CCD566476F720CE40A84243762D9C52DA41160A9C4962D38EB72C6E74974F1713FBRCyAI" TargetMode="External"/><Relationship Id="rId14" Type="http://schemas.openxmlformats.org/officeDocument/2006/relationships/hyperlink" Target="consultantplus://offline/ref=E9D5D3B3D8AF6CCD566477F333CE40A84743772A985A874B1E53904B65DCD1A02B2778964F1613RF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4671</Words>
  <Characters>26630</Characters>
  <Application>Microsoft Office Word</Application>
  <DocSecurity>0</DocSecurity>
  <Lines>221</Lines>
  <Paragraphs>62</Paragraphs>
  <ScaleCrop>false</ScaleCrop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2015-10-14T08:50:00Z</dcterms:created>
  <dcterms:modified xsi:type="dcterms:W3CDTF">2015-10-14T08:50:00Z</dcterms:modified>
</cp:coreProperties>
</file>